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附件1:</w:t>
      </w:r>
    </w:p>
    <w:p>
      <w:pPr>
        <w:spacing w:line="360" w:lineRule="auto"/>
        <w:ind w:firstLine="480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《徐州工业职业技术学院绩效工资实施办法（2018年修订）》</w:t>
      </w:r>
    </w:p>
    <w:p>
      <w:pPr>
        <w:spacing w:line="360" w:lineRule="auto"/>
        <w:ind w:firstLine="480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（徐工职院发</w:t>
      </w:r>
      <w:r>
        <w:rPr>
          <w:rFonts w:ascii="宋体" w:hAnsi="宋体"/>
          <w:b/>
          <w:kern w:val="0"/>
          <w:sz w:val="28"/>
          <w:szCs w:val="28"/>
        </w:rPr>
        <w:t>[</w:t>
      </w:r>
      <w:r>
        <w:rPr>
          <w:rFonts w:hint="eastAsia" w:ascii="宋体" w:hAnsi="宋体"/>
          <w:b/>
          <w:kern w:val="0"/>
          <w:sz w:val="28"/>
          <w:szCs w:val="28"/>
        </w:rPr>
        <w:t>2018</w:t>
      </w:r>
      <w:r>
        <w:rPr>
          <w:rFonts w:ascii="宋体" w:hAnsi="宋体"/>
          <w:b/>
          <w:kern w:val="0"/>
          <w:sz w:val="28"/>
          <w:szCs w:val="28"/>
        </w:rPr>
        <w:t>]1</w:t>
      </w:r>
      <w:r>
        <w:rPr>
          <w:rFonts w:hint="eastAsia" w:ascii="宋体" w:hAnsi="宋体"/>
          <w:b/>
          <w:kern w:val="0"/>
          <w:sz w:val="28"/>
          <w:szCs w:val="28"/>
        </w:rPr>
        <w:t>34号）摘录</w:t>
      </w:r>
      <w:bookmarkStart w:id="0" w:name="_GoBack"/>
      <w:bookmarkEnd w:id="0"/>
    </w:p>
    <w:p>
      <w:pPr>
        <w:spacing w:line="360" w:lineRule="auto"/>
        <w:ind w:firstLine="480"/>
        <w:jc w:val="center"/>
        <w:rPr>
          <w:rFonts w:ascii="仿宋_GB2312" w:hAnsi="宋体"/>
          <w:b/>
          <w:color w:val="00000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 w:hAnsi="宋体"/>
          <w:b/>
          <w:color w:val="000000"/>
          <w:szCs w:val="32"/>
        </w:rPr>
        <w:t>第七部分（1）  管理获奖类绩点核算办法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表13  管理获奖励类绩点核算办法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410"/>
        <w:gridCol w:w="851"/>
        <w:gridCol w:w="1275"/>
        <w:gridCol w:w="1134"/>
        <w:gridCol w:w="1132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7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绩点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市级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各类协会、学会及市部委办局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注：1.管理类获奖是指政府为学校颁发的奖励或荣誉，其它部门颁发的奖励或荣誉均降低一级；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>获奖中</w:t>
      </w:r>
      <w:r>
        <w:rPr>
          <w:rFonts w:hint="eastAsia" w:ascii="宋体" w:hAnsi="宋体"/>
          <w:color w:val="000000"/>
          <w:sz w:val="24"/>
          <w:szCs w:val="24"/>
        </w:rPr>
        <w:t>无等次的奖项按“优秀”等次奖励；同一奖项按最高获奖等次奖励，后期在更高级别获奖后，只奖差额，不重复奖励；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/>
          <w:strike/>
          <w:color w:val="00000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 w:hAnsi="宋体"/>
          <w:b/>
          <w:color w:val="000000"/>
          <w:szCs w:val="32"/>
        </w:rPr>
        <w:t>第七部分（2）  管理工作获奖类绩点认定细则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1.国家级获奖指：中央政府颁发给学校的奖励或荣誉；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2.省级获奖指：省政府颁发给学校的奖励或荣誉；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3.市级获奖指：市政府颁发给学校的奖励或荣誉；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4.政府部委办局颁发的奖励或荣誉均降低一级；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5.各级别获奖中无等次的奖项均按“优秀”等次奖励；</w:t>
      </w:r>
    </w:p>
    <w:p>
      <w:pPr>
        <w:spacing w:line="360" w:lineRule="auto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6.同一奖项按最高获奖等次奖励，后期在更高级别获奖后，只奖差额，不重复奖励。</w:t>
      </w: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8D"/>
    <w:rsid w:val="000F218D"/>
    <w:rsid w:val="003A0ABC"/>
    <w:rsid w:val="008B7DD3"/>
    <w:rsid w:val="00BA4BF9"/>
    <w:rsid w:val="2FA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2020-12-30T07:19:00Z</dcterms:created>
  <dc:creator>赵燕</dc:creator>
  <cp:lastModifiedBy>zy</cp:lastModifiedBy>
  <dcterms:modified xsi:type="dcterms:W3CDTF">2021-11-26T09:08:45Z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3F61FBC7802F4B55B1666AB6204E403E</vt:lpwstr>
  </property>
</Properties>
</file>